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0EE7A8" w14:textId="4306E4D0" w:rsidR="00963B83" w:rsidRPr="00154923" w:rsidRDefault="00B4515C" w:rsidP="00963B83">
      <w:pPr>
        <w:rPr>
          <w:rFonts w:cstheme="minorHAnsi"/>
        </w:rPr>
      </w:pPr>
      <w:r w:rsidRPr="00B4515C">
        <w:rPr>
          <w:b/>
          <w:bCs/>
          <w:color w:val="FF0000"/>
        </w:rPr>
        <w:t>ODDZIAŁ HEMATOLOGII, TRANSPLANTOLOGII I CHORÓB WEWNĘTRZNYCH – KLINIKA HEMATOLOGII</w:t>
      </w:r>
      <w:r w:rsidR="00963B83" w:rsidRPr="00154923">
        <w:rPr>
          <w:rFonts w:cstheme="minorHAnsi"/>
          <w:color w:val="FF0000"/>
        </w:rPr>
        <w:br/>
      </w:r>
      <w:r w:rsidR="00963B83" w:rsidRPr="00154923">
        <w:rPr>
          <w:rFonts w:cstheme="minorHAnsi"/>
        </w:rPr>
        <w:t>prof. dr hab. n. med. Agnieszka Wierzbowska</w:t>
      </w:r>
      <w:r w:rsidR="00963B83" w:rsidRPr="00154923">
        <w:rPr>
          <w:rFonts w:cstheme="minorHAnsi"/>
        </w:rPr>
        <w:br/>
        <w:t>dr hab. n. med., prof. UM Anna Szmigielska-Kapłon</w:t>
      </w:r>
      <w:r w:rsidR="00963B83" w:rsidRPr="00154923">
        <w:rPr>
          <w:rFonts w:cstheme="minorHAnsi"/>
        </w:rPr>
        <w:br/>
        <w:t>Tel. 42 689 51 94</w:t>
      </w:r>
    </w:p>
    <w:p w14:paraId="08D9FCBD" w14:textId="77777777" w:rsidR="00963B83" w:rsidRPr="00154923" w:rsidRDefault="00963B83" w:rsidP="00963B83">
      <w:pPr>
        <w:rPr>
          <w:rFonts w:cstheme="minorHAnsi"/>
        </w:rPr>
      </w:pPr>
    </w:p>
    <w:p w14:paraId="2DC196EF" w14:textId="2C6650C0" w:rsidR="00963B83" w:rsidRPr="00154923" w:rsidRDefault="00963B83" w:rsidP="00963B83">
      <w:pPr>
        <w:rPr>
          <w:rFonts w:cstheme="minorHAnsi"/>
        </w:rPr>
      </w:pPr>
      <w:r w:rsidRPr="00154923">
        <w:rPr>
          <w:rFonts w:cstheme="minorHAnsi"/>
        </w:rPr>
        <w:t>Oddział Hematologii</w:t>
      </w:r>
      <w:r w:rsidR="00521CD8">
        <w:rPr>
          <w:rFonts w:cstheme="minorHAnsi"/>
        </w:rPr>
        <w:t xml:space="preserve">, </w:t>
      </w:r>
      <w:r w:rsidRPr="00154923">
        <w:rPr>
          <w:rFonts w:cstheme="minorHAnsi"/>
        </w:rPr>
        <w:t xml:space="preserve">Transplantologii </w:t>
      </w:r>
      <w:r w:rsidR="00521CD8">
        <w:rPr>
          <w:rFonts w:cstheme="minorHAnsi"/>
        </w:rPr>
        <w:t xml:space="preserve">i Chorób Wewnętrznych - </w:t>
      </w:r>
      <w:r w:rsidRPr="00154923">
        <w:rPr>
          <w:rFonts w:cstheme="minorHAnsi"/>
        </w:rPr>
        <w:t xml:space="preserve">Klinika Hematologii jest jedynym ośrodkiem w makroregionie łódzkim wykonującym wysokospecjalistyczne procedury allogenicznych </w:t>
      </w:r>
      <w:r w:rsidRPr="00154923">
        <w:rPr>
          <w:rFonts w:cstheme="minorHAnsi"/>
        </w:rPr>
        <w:br/>
        <w:t>i autologicznych transplantacji macierzystych komórek krwiotwórczych oraz immunoablacji.</w:t>
      </w:r>
    </w:p>
    <w:p w14:paraId="76C8121B" w14:textId="77777777" w:rsidR="00963B83" w:rsidRPr="00154923" w:rsidRDefault="00963B83" w:rsidP="00963B83">
      <w:pPr>
        <w:pStyle w:val="NormalnyWeb"/>
        <w:rPr>
          <w:rFonts w:asciiTheme="minorHAnsi" w:hAnsiTheme="minorHAnsi" w:cstheme="minorHAnsi"/>
          <w:sz w:val="22"/>
          <w:szCs w:val="22"/>
        </w:rPr>
      </w:pPr>
      <w:r w:rsidRPr="00154923">
        <w:rPr>
          <w:rFonts w:asciiTheme="minorHAnsi" w:hAnsiTheme="minorHAnsi" w:cstheme="minorHAnsi"/>
          <w:sz w:val="22"/>
          <w:szCs w:val="22"/>
        </w:rPr>
        <w:t xml:space="preserve">W oddziale wykonuje się około 65-70 transplantacji rocznie, w tym około 10-15 od dawców rodzinnych oraz leczy powikłania po transplantacjach. </w:t>
      </w:r>
    </w:p>
    <w:p w14:paraId="746B9A5B" w14:textId="77777777" w:rsidR="00963B83" w:rsidRPr="00154923" w:rsidRDefault="00963B83" w:rsidP="00963B83">
      <w:pPr>
        <w:pStyle w:val="NormalnyWeb"/>
        <w:rPr>
          <w:rFonts w:asciiTheme="minorHAnsi" w:hAnsiTheme="minorHAnsi" w:cstheme="minorHAnsi"/>
          <w:sz w:val="22"/>
          <w:szCs w:val="22"/>
        </w:rPr>
      </w:pPr>
      <w:r w:rsidRPr="00154923">
        <w:rPr>
          <w:rFonts w:asciiTheme="minorHAnsi" w:hAnsiTheme="minorHAnsi" w:cstheme="minorHAnsi"/>
          <w:sz w:val="22"/>
          <w:szCs w:val="22"/>
        </w:rPr>
        <w:t>W oddziale leczeni są także chorzy na ostre białaczki, którzy wymagają stosowania intensywnej chemioterapii, immunoterapii lub terapii celowanych. Ponadto w oddziale stosuje się procedurę immunoablacji w leczeniu chorych z ciężka postacią anemii aplastycznej.</w:t>
      </w:r>
    </w:p>
    <w:p w14:paraId="5F0D7B56" w14:textId="77777777" w:rsidR="00963B83" w:rsidRPr="00154923" w:rsidRDefault="00963B83" w:rsidP="00963B83">
      <w:pPr>
        <w:pStyle w:val="NormalnyWeb"/>
        <w:rPr>
          <w:rFonts w:asciiTheme="minorHAnsi" w:hAnsiTheme="minorHAnsi" w:cstheme="minorHAnsi"/>
          <w:sz w:val="22"/>
          <w:szCs w:val="22"/>
        </w:rPr>
      </w:pPr>
      <w:r w:rsidRPr="00154923">
        <w:rPr>
          <w:rFonts w:asciiTheme="minorHAnsi" w:hAnsiTheme="minorHAnsi" w:cstheme="minorHAnsi"/>
          <w:sz w:val="22"/>
          <w:szCs w:val="22"/>
        </w:rPr>
        <w:t>Pod opieką oddziału znajdują się też chorzy z chorobami rzadkimi, takimi jak nocna napadowa hemoglobinuria i choroba Gauchera, leczeni nowoczesnymi terapiami immunologicznymi i enzymatycznymi.</w:t>
      </w:r>
    </w:p>
    <w:p w14:paraId="234169D6" w14:textId="77777777" w:rsidR="00963B83" w:rsidRDefault="00963B83" w:rsidP="00963B83">
      <w:pPr>
        <w:pStyle w:val="NormalnyWeb"/>
        <w:rPr>
          <w:rFonts w:asciiTheme="minorHAnsi" w:hAnsiTheme="minorHAnsi" w:cstheme="minorHAnsi"/>
          <w:sz w:val="22"/>
          <w:szCs w:val="22"/>
        </w:rPr>
      </w:pPr>
      <w:r w:rsidRPr="00154923">
        <w:rPr>
          <w:rFonts w:asciiTheme="minorHAnsi" w:hAnsiTheme="minorHAnsi" w:cstheme="minorHAnsi"/>
          <w:sz w:val="22"/>
          <w:szCs w:val="22"/>
        </w:rPr>
        <w:t>Mając na uwadze ogromne doświadczenie zespołu w zakresie leczenia ostrych białaczek oraz rosnące zapotrzebowanie, szczególnie w zakresie intensywnej chemioterapii, immunoterapii za pomocą przeciwciał monoklonalnych i nowoczesnych terapii komórkowych, planowane jest stworzenie w ramach oddziału wyspecjalizowanej podjednostki – Leukemia Unit – zajmującej się wysokospecjalistycznym leczeniem ostrych białaczek w ścisłej integracji z odziałem przeszczepowym i mającej na celu zapewnienie optymalnych warunków leczenia oraz skrócenie czasu oczekiwania na chemioterapię i transplantację.</w:t>
      </w:r>
    </w:p>
    <w:p w14:paraId="1F85F72F" w14:textId="77777777" w:rsidR="00963B83" w:rsidRPr="00140679" w:rsidRDefault="00963B83" w:rsidP="00963B83">
      <w:pPr>
        <w:pStyle w:val="NormalnyWeb"/>
        <w:rPr>
          <w:rFonts w:asciiTheme="minorHAnsi" w:hAnsiTheme="minorHAnsi" w:cstheme="minorHAnsi"/>
          <w:sz w:val="22"/>
          <w:szCs w:val="22"/>
        </w:rPr>
      </w:pPr>
      <w:r w:rsidRPr="00140679">
        <w:rPr>
          <w:rFonts w:asciiTheme="minorHAnsi" w:hAnsiTheme="minorHAnsi" w:cstheme="minorHAnsi"/>
          <w:sz w:val="22"/>
          <w:szCs w:val="22"/>
        </w:rPr>
        <w:t>Zespół  Pani prof. dr hab. n. med. Agni</w:t>
      </w:r>
      <w:r>
        <w:rPr>
          <w:rFonts w:asciiTheme="minorHAnsi" w:hAnsiTheme="minorHAnsi" w:cstheme="minorHAnsi"/>
          <w:sz w:val="22"/>
          <w:szCs w:val="22"/>
        </w:rPr>
        <w:t xml:space="preserve">eszki Wierzbowskiej prowadził do </w:t>
      </w:r>
      <w:r w:rsidRPr="008330CE">
        <w:rPr>
          <w:rFonts w:asciiTheme="minorHAnsi" w:hAnsiTheme="minorHAnsi" w:cstheme="minorHAnsi"/>
          <w:sz w:val="22"/>
          <w:szCs w:val="22"/>
        </w:rPr>
        <w:t xml:space="preserve">tej pory ponad 13  </w:t>
      </w:r>
      <w:r>
        <w:rPr>
          <w:rFonts w:asciiTheme="minorHAnsi" w:hAnsiTheme="minorHAnsi" w:cstheme="minorHAnsi"/>
          <w:sz w:val="22"/>
          <w:szCs w:val="22"/>
        </w:rPr>
        <w:t>badań klinicznych; w tym niekomercyjne badania kliniczne.</w:t>
      </w:r>
    </w:p>
    <w:p w14:paraId="716881A4" w14:textId="77777777" w:rsidR="00963B83" w:rsidRPr="00154923" w:rsidRDefault="00963B83" w:rsidP="00963B83">
      <w:pPr>
        <w:pStyle w:val="Bezodstpw"/>
        <w:rPr>
          <w:rStyle w:val="Pogrubienie"/>
          <w:rFonts w:asciiTheme="minorHAnsi" w:hAnsiTheme="minorHAnsi" w:cstheme="minorHAnsi"/>
          <w:color w:val="FF0000"/>
        </w:rPr>
      </w:pPr>
    </w:p>
    <w:p w14:paraId="514259ED" w14:textId="77777777" w:rsidR="00963B83" w:rsidRPr="00154923" w:rsidRDefault="00963B83" w:rsidP="00963B83">
      <w:pPr>
        <w:pStyle w:val="Bezodstpw"/>
        <w:rPr>
          <w:rStyle w:val="Pogrubienie"/>
          <w:rFonts w:asciiTheme="minorHAnsi" w:hAnsiTheme="minorHAnsi" w:cstheme="minorHAnsi"/>
          <w:color w:val="FF0000"/>
        </w:rPr>
      </w:pPr>
    </w:p>
    <w:p w14:paraId="7980C1EB" w14:textId="77777777" w:rsidR="00963B83" w:rsidRPr="00154923" w:rsidRDefault="00963B83" w:rsidP="00963B83">
      <w:pPr>
        <w:pStyle w:val="Bezodstpw"/>
        <w:rPr>
          <w:rStyle w:val="Pogrubienie"/>
          <w:rFonts w:asciiTheme="minorHAnsi" w:hAnsiTheme="minorHAnsi" w:cstheme="minorHAnsi"/>
          <w:color w:val="FF0000"/>
        </w:rPr>
      </w:pPr>
    </w:p>
    <w:p w14:paraId="5B9C58FE" w14:textId="77777777" w:rsidR="00963B83" w:rsidRPr="00154923" w:rsidRDefault="00963B83" w:rsidP="00963B83">
      <w:pPr>
        <w:pStyle w:val="Bezodstpw"/>
        <w:rPr>
          <w:rStyle w:val="Pogrubienie"/>
          <w:rFonts w:asciiTheme="minorHAnsi" w:hAnsiTheme="minorHAnsi" w:cstheme="minorHAnsi"/>
          <w:color w:val="FF0000"/>
        </w:rPr>
      </w:pPr>
    </w:p>
    <w:p w14:paraId="180EF599" w14:textId="77777777" w:rsidR="00963B83" w:rsidRPr="00154923" w:rsidRDefault="00963B83" w:rsidP="00963B83">
      <w:pPr>
        <w:pStyle w:val="Bezodstpw"/>
        <w:rPr>
          <w:rStyle w:val="Pogrubienie"/>
          <w:rFonts w:asciiTheme="minorHAnsi" w:hAnsiTheme="minorHAnsi" w:cstheme="minorHAnsi"/>
          <w:color w:val="FF0000"/>
        </w:rPr>
      </w:pPr>
    </w:p>
    <w:p w14:paraId="10F0A296" w14:textId="77777777" w:rsidR="00963B83" w:rsidRPr="00154923" w:rsidRDefault="00963B83" w:rsidP="00963B83">
      <w:pPr>
        <w:pStyle w:val="Bezodstpw"/>
        <w:rPr>
          <w:rStyle w:val="Pogrubienie"/>
          <w:rFonts w:asciiTheme="minorHAnsi" w:hAnsiTheme="minorHAnsi" w:cstheme="minorHAnsi"/>
          <w:color w:val="FF0000"/>
        </w:rPr>
      </w:pPr>
    </w:p>
    <w:p w14:paraId="7A9A0A36" w14:textId="77777777" w:rsidR="00963B83" w:rsidRPr="00154923" w:rsidRDefault="00963B83" w:rsidP="00963B83">
      <w:pPr>
        <w:pStyle w:val="Bezodstpw"/>
        <w:rPr>
          <w:rStyle w:val="Pogrubienie"/>
          <w:rFonts w:asciiTheme="minorHAnsi" w:hAnsiTheme="minorHAnsi" w:cstheme="minorHAnsi"/>
          <w:color w:val="FF0000"/>
        </w:rPr>
      </w:pPr>
    </w:p>
    <w:p w14:paraId="0286C2E4" w14:textId="77777777" w:rsidR="00963B83" w:rsidRPr="00154923" w:rsidRDefault="00963B83" w:rsidP="00963B83">
      <w:pPr>
        <w:pStyle w:val="Bezodstpw"/>
        <w:rPr>
          <w:rStyle w:val="Pogrubienie"/>
          <w:rFonts w:asciiTheme="minorHAnsi" w:hAnsiTheme="minorHAnsi" w:cstheme="minorHAnsi"/>
          <w:color w:val="FF0000"/>
        </w:rPr>
      </w:pPr>
    </w:p>
    <w:p w14:paraId="06EF4F51" w14:textId="77777777" w:rsidR="00963B83" w:rsidRPr="00154923" w:rsidRDefault="00963B83" w:rsidP="00963B83">
      <w:pPr>
        <w:pStyle w:val="Bezodstpw"/>
        <w:rPr>
          <w:rStyle w:val="Pogrubienie"/>
          <w:rFonts w:asciiTheme="minorHAnsi" w:hAnsiTheme="minorHAnsi" w:cstheme="minorHAnsi"/>
          <w:color w:val="FF0000"/>
        </w:rPr>
      </w:pPr>
    </w:p>
    <w:p w14:paraId="25C28988" w14:textId="77777777" w:rsidR="00963B83" w:rsidRPr="00154923" w:rsidRDefault="00963B83" w:rsidP="00963B83">
      <w:pPr>
        <w:pStyle w:val="Bezodstpw"/>
        <w:rPr>
          <w:rStyle w:val="Pogrubienie"/>
          <w:rFonts w:asciiTheme="minorHAnsi" w:hAnsiTheme="minorHAnsi" w:cstheme="minorHAnsi"/>
          <w:color w:val="FF0000"/>
        </w:rPr>
      </w:pPr>
    </w:p>
    <w:p w14:paraId="3322EC3B" w14:textId="77777777" w:rsidR="00963B83" w:rsidRPr="00154923" w:rsidRDefault="00963B83" w:rsidP="00963B83">
      <w:pPr>
        <w:pStyle w:val="Bezodstpw"/>
        <w:rPr>
          <w:rStyle w:val="Pogrubienie"/>
          <w:rFonts w:asciiTheme="minorHAnsi" w:hAnsiTheme="minorHAnsi" w:cstheme="minorHAnsi"/>
          <w:color w:val="FF0000"/>
        </w:rPr>
      </w:pPr>
    </w:p>
    <w:p w14:paraId="5DCD691D" w14:textId="77777777" w:rsidR="00963B83" w:rsidRPr="00154923" w:rsidRDefault="00963B83" w:rsidP="00963B83">
      <w:pPr>
        <w:pStyle w:val="Bezodstpw"/>
        <w:rPr>
          <w:rStyle w:val="Pogrubienie"/>
          <w:rFonts w:asciiTheme="minorHAnsi" w:hAnsiTheme="minorHAnsi" w:cstheme="minorHAnsi"/>
          <w:color w:val="FF0000"/>
        </w:rPr>
      </w:pPr>
    </w:p>
    <w:p w14:paraId="2C465F48" w14:textId="77777777" w:rsidR="00963B83" w:rsidRPr="00154923" w:rsidRDefault="00963B83" w:rsidP="00963B83">
      <w:pPr>
        <w:pStyle w:val="Bezodstpw"/>
        <w:rPr>
          <w:rStyle w:val="Pogrubienie"/>
          <w:rFonts w:asciiTheme="minorHAnsi" w:hAnsiTheme="minorHAnsi" w:cstheme="minorHAnsi"/>
          <w:color w:val="FF0000"/>
        </w:rPr>
      </w:pPr>
    </w:p>
    <w:p w14:paraId="22C211F1" w14:textId="77777777" w:rsidR="00963B83" w:rsidRPr="00154923" w:rsidRDefault="00963B83" w:rsidP="00963B83">
      <w:pPr>
        <w:pStyle w:val="Bezodstpw"/>
        <w:rPr>
          <w:rStyle w:val="Pogrubienie"/>
          <w:rFonts w:asciiTheme="minorHAnsi" w:hAnsiTheme="minorHAnsi" w:cstheme="minorHAnsi"/>
          <w:color w:val="FF0000"/>
        </w:rPr>
      </w:pPr>
    </w:p>
    <w:p w14:paraId="0A371AA7" w14:textId="77777777" w:rsidR="00963B83" w:rsidRPr="00154923" w:rsidRDefault="00963B83" w:rsidP="00963B83">
      <w:pPr>
        <w:pStyle w:val="Bezodstpw"/>
        <w:rPr>
          <w:rStyle w:val="Pogrubienie"/>
          <w:rFonts w:asciiTheme="minorHAnsi" w:hAnsiTheme="minorHAnsi" w:cstheme="minorHAnsi"/>
          <w:color w:val="FF0000"/>
        </w:rPr>
      </w:pPr>
    </w:p>
    <w:p w14:paraId="7F0632CF" w14:textId="77777777" w:rsidR="00963B83" w:rsidRPr="00154923" w:rsidRDefault="00963B83" w:rsidP="00963B83">
      <w:pPr>
        <w:pStyle w:val="Bezodstpw"/>
        <w:rPr>
          <w:rStyle w:val="Pogrubienie"/>
          <w:rFonts w:asciiTheme="minorHAnsi" w:hAnsiTheme="minorHAnsi" w:cstheme="minorHAnsi"/>
          <w:color w:val="FF0000"/>
        </w:rPr>
      </w:pPr>
    </w:p>
    <w:p w14:paraId="2BD82D9B" w14:textId="77777777" w:rsidR="00963B83" w:rsidRPr="00154923" w:rsidRDefault="00963B83" w:rsidP="00963B83">
      <w:pPr>
        <w:pStyle w:val="Bezodstpw"/>
        <w:rPr>
          <w:rStyle w:val="Pogrubienie"/>
          <w:rFonts w:asciiTheme="minorHAnsi" w:hAnsiTheme="minorHAnsi" w:cstheme="minorHAnsi"/>
          <w:color w:val="FF0000"/>
        </w:rPr>
      </w:pPr>
    </w:p>
    <w:p w14:paraId="69A03984" w14:textId="69AC600A" w:rsidR="00B4515C" w:rsidRPr="00B4515C" w:rsidRDefault="00B4515C" w:rsidP="00B4515C">
      <w:pPr>
        <w:spacing w:after="160" w:line="259" w:lineRule="auto"/>
        <w:rPr>
          <w:b/>
          <w:bCs/>
          <w:color w:val="FF0000"/>
          <w:lang w:val="en-GB"/>
        </w:rPr>
      </w:pPr>
      <w:r w:rsidRPr="00B4515C">
        <w:rPr>
          <w:b/>
          <w:bCs/>
          <w:color w:val="FF0000"/>
          <w:lang w:val="en-GB"/>
        </w:rPr>
        <w:lastRenderedPageBreak/>
        <w:t>DEPARTMENT OF HEMATOLOGY, TRANSPLANTOLOGY AND INTERNAL MEDICINE - HEMATOLOGY CLINICS</w:t>
      </w:r>
    </w:p>
    <w:p w14:paraId="1B7285A4" w14:textId="77777777" w:rsidR="00963B83" w:rsidRPr="001F6D30" w:rsidRDefault="00963B83" w:rsidP="00963B83">
      <w:pPr>
        <w:rPr>
          <w:rFonts w:cstheme="minorHAnsi"/>
          <w:b/>
          <w:bCs/>
          <w:color w:val="FF0000"/>
        </w:rPr>
      </w:pPr>
      <w:r w:rsidRPr="00EA3ACD">
        <w:rPr>
          <w:rFonts w:cstheme="minorHAnsi"/>
          <w:lang w:val="en-US"/>
        </w:rPr>
        <w:t xml:space="preserve">prof. dr hab. n. med. </w:t>
      </w:r>
      <w:r w:rsidRPr="00154923">
        <w:rPr>
          <w:rFonts w:cstheme="minorHAnsi"/>
        </w:rPr>
        <w:t>Agnieszka Wierzbowska</w:t>
      </w:r>
      <w:r w:rsidRPr="00154923">
        <w:rPr>
          <w:rFonts w:cstheme="minorHAnsi"/>
        </w:rPr>
        <w:br/>
        <w:t>dr hab. n. med., prof. UM Anna Szmigielska-Kapłon</w:t>
      </w:r>
      <w:r w:rsidRPr="00154923">
        <w:rPr>
          <w:rFonts w:cstheme="minorHAnsi"/>
        </w:rPr>
        <w:br/>
      </w:r>
      <w:r>
        <w:rPr>
          <w:rFonts w:cstheme="minorHAnsi"/>
        </w:rPr>
        <w:t xml:space="preserve">Phone: </w:t>
      </w:r>
      <w:r w:rsidRPr="00154923">
        <w:rPr>
          <w:rFonts w:cstheme="minorHAnsi"/>
        </w:rPr>
        <w:t xml:space="preserve"> 42 689 51 94</w:t>
      </w:r>
    </w:p>
    <w:p w14:paraId="137D9223" w14:textId="77777777" w:rsidR="00963B83" w:rsidRDefault="00963B83" w:rsidP="00963B83">
      <w:pPr>
        <w:pStyle w:val="Bezodstpw"/>
        <w:rPr>
          <w:rStyle w:val="Pogrubienie"/>
          <w:rFonts w:asciiTheme="minorHAnsi" w:hAnsiTheme="minorHAnsi" w:cstheme="minorHAnsi"/>
          <w:color w:val="FF0000"/>
        </w:rPr>
      </w:pPr>
    </w:p>
    <w:p w14:paraId="0D6A9882" w14:textId="08785344" w:rsidR="00963B83" w:rsidRDefault="00963B83" w:rsidP="00963B83">
      <w:pPr>
        <w:pStyle w:val="Bezodstpw"/>
        <w:rPr>
          <w:rStyle w:val="Pogrubienie"/>
          <w:rFonts w:asciiTheme="minorHAnsi" w:hAnsiTheme="minorHAnsi" w:cstheme="minorHAnsi"/>
          <w:b w:val="0"/>
          <w:lang w:val="en-US"/>
        </w:rPr>
      </w:pPr>
      <w:r w:rsidRPr="00BB1E4B">
        <w:rPr>
          <w:rStyle w:val="Pogrubienie"/>
          <w:rFonts w:asciiTheme="minorHAnsi" w:hAnsiTheme="minorHAnsi" w:cstheme="minorHAnsi"/>
          <w:b w:val="0"/>
          <w:lang w:val="en-US"/>
        </w:rPr>
        <w:t>Department of Hematology</w:t>
      </w:r>
      <w:r w:rsidR="009A34CB">
        <w:rPr>
          <w:rStyle w:val="Pogrubienie"/>
          <w:rFonts w:asciiTheme="minorHAnsi" w:hAnsiTheme="minorHAnsi" w:cstheme="minorHAnsi"/>
          <w:b w:val="0"/>
          <w:lang w:val="en-US"/>
        </w:rPr>
        <w:t>, T</w:t>
      </w:r>
      <w:r w:rsidRPr="00BB1E4B">
        <w:rPr>
          <w:rStyle w:val="Pogrubienie"/>
          <w:rFonts w:asciiTheme="minorHAnsi" w:hAnsiTheme="minorHAnsi" w:cstheme="minorHAnsi"/>
          <w:b w:val="0"/>
          <w:lang w:val="en-US"/>
        </w:rPr>
        <w:t xml:space="preserve">ransplantology </w:t>
      </w:r>
      <w:r w:rsidR="009A34CB">
        <w:rPr>
          <w:rStyle w:val="Pogrubienie"/>
          <w:rFonts w:asciiTheme="minorHAnsi" w:hAnsiTheme="minorHAnsi" w:cstheme="minorHAnsi"/>
          <w:b w:val="0"/>
          <w:lang w:val="en-US"/>
        </w:rPr>
        <w:t>and Internial Medicine</w:t>
      </w:r>
      <w:r w:rsidRPr="00BB1E4B">
        <w:rPr>
          <w:rStyle w:val="Pogrubienie"/>
          <w:rFonts w:asciiTheme="minorHAnsi" w:hAnsiTheme="minorHAnsi" w:cstheme="minorHAnsi"/>
          <w:b w:val="0"/>
          <w:lang w:val="en-US"/>
        </w:rPr>
        <w:t xml:space="preserve">- Hematology </w:t>
      </w:r>
      <w:r w:rsidR="009A34CB">
        <w:rPr>
          <w:rStyle w:val="Pogrubienie"/>
          <w:rFonts w:asciiTheme="minorHAnsi" w:hAnsiTheme="minorHAnsi" w:cstheme="minorHAnsi"/>
          <w:b w:val="0"/>
          <w:lang w:val="en-US"/>
        </w:rPr>
        <w:t xml:space="preserve">Clinics </w:t>
      </w:r>
      <w:r w:rsidRPr="00BB1E4B">
        <w:rPr>
          <w:rStyle w:val="Pogrubienie"/>
          <w:rFonts w:asciiTheme="minorHAnsi" w:hAnsiTheme="minorHAnsi" w:cstheme="minorHAnsi"/>
          <w:b w:val="0"/>
          <w:lang w:val="en-US"/>
        </w:rPr>
        <w:t>is the only center</w:t>
      </w:r>
      <w:r w:rsidR="009A34CB">
        <w:rPr>
          <w:rStyle w:val="Pogrubienie"/>
          <w:rFonts w:asciiTheme="minorHAnsi" w:hAnsiTheme="minorHAnsi" w:cstheme="minorHAnsi"/>
          <w:b w:val="0"/>
          <w:lang w:val="en-US"/>
        </w:rPr>
        <w:t xml:space="preserve"> </w:t>
      </w:r>
      <w:r w:rsidRPr="00BB1E4B">
        <w:rPr>
          <w:rStyle w:val="Pogrubienie"/>
          <w:rFonts w:asciiTheme="minorHAnsi" w:hAnsiTheme="minorHAnsi" w:cstheme="minorHAnsi"/>
          <w:b w:val="0"/>
          <w:lang w:val="en-US"/>
        </w:rPr>
        <w:t>in the Łódź macroregion performing highly sp</w:t>
      </w:r>
      <w:r>
        <w:rPr>
          <w:rStyle w:val="Pogrubienie"/>
          <w:rFonts w:asciiTheme="minorHAnsi" w:hAnsiTheme="minorHAnsi" w:cstheme="minorHAnsi"/>
          <w:b w:val="0"/>
          <w:lang w:val="en-US"/>
        </w:rPr>
        <w:t xml:space="preserve">ecialized allogeneic procedures </w:t>
      </w:r>
      <w:r w:rsidRPr="00BB1E4B">
        <w:rPr>
          <w:rStyle w:val="Pogrubienie"/>
          <w:rFonts w:asciiTheme="minorHAnsi" w:hAnsiTheme="minorHAnsi" w:cstheme="minorHAnsi"/>
          <w:b w:val="0"/>
          <w:lang w:val="en-US"/>
        </w:rPr>
        <w:t>and autologous hematopoietic stem cell transplantation and immunoablation.</w:t>
      </w:r>
    </w:p>
    <w:p w14:paraId="4D6963DB" w14:textId="77777777" w:rsidR="00963B83" w:rsidRPr="00BB1E4B" w:rsidRDefault="00963B83" w:rsidP="00963B83">
      <w:pPr>
        <w:pStyle w:val="Bezodstpw"/>
        <w:rPr>
          <w:rStyle w:val="Pogrubienie"/>
          <w:rFonts w:asciiTheme="minorHAnsi" w:hAnsiTheme="minorHAnsi" w:cstheme="minorHAnsi"/>
          <w:b w:val="0"/>
          <w:lang w:val="en-US"/>
        </w:rPr>
      </w:pPr>
    </w:p>
    <w:p w14:paraId="5F289DFA" w14:textId="77777777" w:rsidR="00963B83" w:rsidRDefault="00963B83" w:rsidP="00963B83">
      <w:pPr>
        <w:pStyle w:val="Bezodstpw"/>
        <w:rPr>
          <w:rStyle w:val="Pogrubienie"/>
          <w:rFonts w:asciiTheme="minorHAnsi" w:hAnsiTheme="minorHAnsi" w:cstheme="minorHAnsi"/>
          <w:b w:val="0"/>
          <w:lang w:val="en-US"/>
        </w:rPr>
      </w:pPr>
      <w:r w:rsidRPr="00BB1E4B">
        <w:rPr>
          <w:rStyle w:val="Pogrubienie"/>
          <w:rFonts w:asciiTheme="minorHAnsi" w:hAnsiTheme="minorHAnsi" w:cstheme="minorHAnsi"/>
          <w:b w:val="0"/>
          <w:lang w:val="en-US"/>
        </w:rPr>
        <w:t>The department performs about 65-70 transplants a year, including about 10-15 from family donors, and treats post-transplant complications.</w:t>
      </w:r>
    </w:p>
    <w:p w14:paraId="34415C5C" w14:textId="77777777" w:rsidR="00963B83" w:rsidRPr="00BB1E4B" w:rsidRDefault="00963B83" w:rsidP="00963B83">
      <w:pPr>
        <w:pStyle w:val="Bezodstpw"/>
        <w:rPr>
          <w:rStyle w:val="Pogrubienie"/>
          <w:rFonts w:asciiTheme="minorHAnsi" w:hAnsiTheme="minorHAnsi" w:cstheme="minorHAnsi"/>
          <w:b w:val="0"/>
          <w:lang w:val="en-US"/>
        </w:rPr>
      </w:pPr>
    </w:p>
    <w:p w14:paraId="4A80F569" w14:textId="77777777" w:rsidR="00963B83" w:rsidRDefault="00963B83" w:rsidP="00963B83">
      <w:pPr>
        <w:pStyle w:val="Bezodstpw"/>
        <w:rPr>
          <w:rStyle w:val="Pogrubienie"/>
          <w:rFonts w:asciiTheme="minorHAnsi" w:hAnsiTheme="minorHAnsi" w:cstheme="minorHAnsi"/>
          <w:b w:val="0"/>
          <w:lang w:val="en-US"/>
        </w:rPr>
      </w:pPr>
      <w:r w:rsidRPr="00BB1E4B">
        <w:rPr>
          <w:rStyle w:val="Pogrubienie"/>
          <w:rFonts w:asciiTheme="minorHAnsi" w:hAnsiTheme="minorHAnsi" w:cstheme="minorHAnsi"/>
          <w:b w:val="0"/>
          <w:lang w:val="en-US"/>
        </w:rPr>
        <w:t>The ward also treats patients with acute leukemia who require intensive chemotherapy, immunotherapy or targeted therapies. In addition, the department uses the immunoablation procedure in the treatment of patients with severe aplastic anemia.</w:t>
      </w:r>
    </w:p>
    <w:p w14:paraId="50539BA1" w14:textId="77777777" w:rsidR="00963B83" w:rsidRPr="00BB1E4B" w:rsidRDefault="00963B83" w:rsidP="00963B83">
      <w:pPr>
        <w:pStyle w:val="Bezodstpw"/>
        <w:rPr>
          <w:rStyle w:val="Pogrubienie"/>
          <w:rFonts w:asciiTheme="minorHAnsi" w:hAnsiTheme="minorHAnsi" w:cstheme="minorHAnsi"/>
          <w:b w:val="0"/>
          <w:lang w:val="en-US"/>
        </w:rPr>
      </w:pPr>
    </w:p>
    <w:p w14:paraId="32864B34" w14:textId="77777777" w:rsidR="00963B83" w:rsidRDefault="00963B83" w:rsidP="00963B83">
      <w:pPr>
        <w:pStyle w:val="Bezodstpw"/>
        <w:rPr>
          <w:rStyle w:val="Pogrubienie"/>
          <w:rFonts w:asciiTheme="minorHAnsi" w:hAnsiTheme="minorHAnsi" w:cstheme="minorHAnsi"/>
          <w:b w:val="0"/>
          <w:lang w:val="en-US"/>
        </w:rPr>
      </w:pPr>
      <w:r w:rsidRPr="00BB1E4B">
        <w:rPr>
          <w:rStyle w:val="Pogrubienie"/>
          <w:rFonts w:asciiTheme="minorHAnsi" w:hAnsiTheme="minorHAnsi" w:cstheme="minorHAnsi"/>
          <w:b w:val="0"/>
          <w:lang w:val="en-US"/>
        </w:rPr>
        <w:t>The ward also cares for patients with rare diseases, such as nocturnal paroxysmal hemoglobinuria and Gaucher disease, treated with modern immunological and enzyme therapies.</w:t>
      </w:r>
    </w:p>
    <w:p w14:paraId="64FFC9F4" w14:textId="77777777" w:rsidR="00963B83" w:rsidRPr="00BB1E4B" w:rsidRDefault="00963B83" w:rsidP="00963B83">
      <w:pPr>
        <w:pStyle w:val="Bezodstpw"/>
        <w:rPr>
          <w:rStyle w:val="Pogrubienie"/>
          <w:rFonts w:asciiTheme="minorHAnsi" w:hAnsiTheme="minorHAnsi" w:cstheme="minorHAnsi"/>
          <w:b w:val="0"/>
          <w:lang w:val="en-US"/>
        </w:rPr>
      </w:pPr>
    </w:p>
    <w:p w14:paraId="43F37B18" w14:textId="77777777" w:rsidR="00963B83" w:rsidRDefault="00963B83" w:rsidP="00963B83">
      <w:pPr>
        <w:pStyle w:val="Bezodstpw"/>
        <w:rPr>
          <w:rStyle w:val="Pogrubienie"/>
          <w:rFonts w:asciiTheme="minorHAnsi" w:hAnsiTheme="minorHAnsi" w:cstheme="minorHAnsi"/>
          <w:b w:val="0"/>
          <w:lang w:val="en-US"/>
        </w:rPr>
      </w:pPr>
      <w:r w:rsidRPr="00BB1E4B">
        <w:rPr>
          <w:rStyle w:val="Pogrubienie"/>
          <w:rFonts w:asciiTheme="minorHAnsi" w:hAnsiTheme="minorHAnsi" w:cstheme="minorHAnsi"/>
          <w:b w:val="0"/>
          <w:lang w:val="en-US"/>
        </w:rPr>
        <w:t>Considering the team's vast experience in the treatment of acute leukemias and the growing demand, especially in the field of intensive chemotherapy, immunotherapy using monoclonal antibodies and modern cell therapies, it is planned to create a specialized subunit - Leukemia Unit - within the ward, dealing with highly specialized treatment of acute leukemias in close integration with the transplant ward and aimed at ensuring optimal treatment conditions and shortening the waiting time for chemotherapy and transplantation.</w:t>
      </w:r>
    </w:p>
    <w:p w14:paraId="6EC61F4F" w14:textId="77777777" w:rsidR="00963B83" w:rsidRPr="00BB1E4B" w:rsidRDefault="00963B83" w:rsidP="00963B83">
      <w:pPr>
        <w:pStyle w:val="Bezodstpw"/>
        <w:rPr>
          <w:rStyle w:val="Pogrubienie"/>
          <w:rFonts w:asciiTheme="minorHAnsi" w:hAnsiTheme="minorHAnsi" w:cstheme="minorHAnsi"/>
          <w:b w:val="0"/>
          <w:lang w:val="en-US"/>
        </w:rPr>
      </w:pPr>
    </w:p>
    <w:p w14:paraId="41AC0080" w14:textId="77777777" w:rsidR="00963B83" w:rsidRPr="00BB1E4B" w:rsidRDefault="00963B83" w:rsidP="00963B83">
      <w:pPr>
        <w:pStyle w:val="Bezodstpw"/>
        <w:rPr>
          <w:rStyle w:val="Pogrubienie"/>
          <w:rFonts w:asciiTheme="minorHAnsi" w:hAnsiTheme="minorHAnsi" w:cstheme="minorHAnsi"/>
          <w:b w:val="0"/>
          <w:lang w:val="en-US"/>
        </w:rPr>
      </w:pPr>
      <w:r w:rsidRPr="008330CE">
        <w:rPr>
          <w:rStyle w:val="Pogrubienie"/>
          <w:rFonts w:asciiTheme="minorHAnsi" w:hAnsiTheme="minorHAnsi" w:cstheme="minorHAnsi"/>
          <w:b w:val="0"/>
          <w:lang w:val="en-US"/>
        </w:rPr>
        <w:t>The team of Prof. dr hab. n. med. Agnieszka Wierzbowska has so far conducted over 13 clinical trials; including non-commercial clinical trials.</w:t>
      </w:r>
    </w:p>
    <w:p w14:paraId="7E9C106E" w14:textId="77777777" w:rsidR="00963B83" w:rsidRPr="00BB1E4B" w:rsidRDefault="00963B83" w:rsidP="00963B83">
      <w:pPr>
        <w:pStyle w:val="Bezodstpw"/>
        <w:rPr>
          <w:rStyle w:val="Pogrubienie"/>
          <w:rFonts w:asciiTheme="minorHAnsi" w:hAnsiTheme="minorHAnsi" w:cstheme="minorHAnsi"/>
          <w:color w:val="FF0000"/>
          <w:lang w:val="en-US"/>
        </w:rPr>
      </w:pPr>
    </w:p>
    <w:p w14:paraId="442F354F" w14:textId="77777777" w:rsidR="00963B83" w:rsidRPr="00BB1E4B" w:rsidRDefault="00963B83" w:rsidP="00963B83">
      <w:pPr>
        <w:pStyle w:val="Bezodstpw"/>
        <w:rPr>
          <w:rStyle w:val="Pogrubienie"/>
          <w:rFonts w:asciiTheme="minorHAnsi" w:hAnsiTheme="minorHAnsi" w:cstheme="minorHAnsi"/>
          <w:color w:val="FF0000"/>
          <w:lang w:val="en-US"/>
        </w:rPr>
      </w:pPr>
    </w:p>
    <w:p w14:paraId="621D0086" w14:textId="77777777" w:rsidR="00963B83" w:rsidRPr="00BB1E4B" w:rsidRDefault="00963B83" w:rsidP="00963B83">
      <w:pPr>
        <w:pStyle w:val="Bezodstpw"/>
        <w:rPr>
          <w:rStyle w:val="Pogrubienie"/>
          <w:rFonts w:asciiTheme="minorHAnsi" w:hAnsiTheme="minorHAnsi" w:cstheme="minorHAnsi"/>
          <w:color w:val="FF0000"/>
          <w:lang w:val="en-US"/>
        </w:rPr>
      </w:pPr>
    </w:p>
    <w:p w14:paraId="0DA9F2F1" w14:textId="77777777" w:rsidR="00963B83" w:rsidRPr="00BB1E4B" w:rsidRDefault="00963B83" w:rsidP="00963B83">
      <w:pPr>
        <w:pStyle w:val="Bezodstpw"/>
        <w:rPr>
          <w:rStyle w:val="Pogrubienie"/>
          <w:rFonts w:asciiTheme="minorHAnsi" w:hAnsiTheme="minorHAnsi" w:cstheme="minorHAnsi"/>
          <w:color w:val="FF0000"/>
          <w:lang w:val="en-US"/>
        </w:rPr>
      </w:pPr>
    </w:p>
    <w:p w14:paraId="4BD9CE5C" w14:textId="77777777" w:rsidR="00963B83" w:rsidRPr="00BB1E4B" w:rsidRDefault="00963B83" w:rsidP="00963B83">
      <w:pPr>
        <w:pStyle w:val="Bezodstpw"/>
        <w:rPr>
          <w:rStyle w:val="Pogrubienie"/>
          <w:rFonts w:asciiTheme="minorHAnsi" w:hAnsiTheme="minorHAnsi" w:cstheme="minorHAnsi"/>
          <w:color w:val="FF0000"/>
          <w:lang w:val="en-US"/>
        </w:rPr>
      </w:pPr>
    </w:p>
    <w:p w14:paraId="7DCE6BD8" w14:textId="77777777" w:rsidR="007B2430" w:rsidRPr="00963B83" w:rsidRDefault="007B2430">
      <w:pPr>
        <w:rPr>
          <w:b/>
          <w:lang w:val="en-US"/>
        </w:rPr>
      </w:pPr>
    </w:p>
    <w:sectPr w:rsidR="007B2430" w:rsidRPr="00963B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4B120F"/>
    <w:multiLevelType w:val="multilevel"/>
    <w:tmpl w:val="1DF49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24324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3B83"/>
    <w:rsid w:val="00521CD8"/>
    <w:rsid w:val="007B2430"/>
    <w:rsid w:val="009303C3"/>
    <w:rsid w:val="00963B83"/>
    <w:rsid w:val="009A34CB"/>
    <w:rsid w:val="00B451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1BD8F"/>
  <w15:docId w15:val="{CE5D893D-2D8E-45DB-AD53-D97CAC12D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63B8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963B83"/>
    <w:rPr>
      <w:b/>
      <w:bCs/>
    </w:rPr>
  </w:style>
  <w:style w:type="paragraph" w:styleId="NormalnyWeb">
    <w:name w:val="Normal (Web)"/>
    <w:basedOn w:val="Normalny"/>
    <w:uiPriority w:val="99"/>
    <w:semiHidden/>
    <w:unhideWhenUsed/>
    <w:rsid w:val="00963B8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Bezodstpw">
    <w:name w:val="No Spacing"/>
    <w:basedOn w:val="Normalny"/>
    <w:uiPriority w:val="1"/>
    <w:qFormat/>
    <w:rsid w:val="00963B83"/>
    <w:pPr>
      <w:spacing w:after="0" w:line="240" w:lineRule="auto"/>
    </w:pPr>
    <w:rPr>
      <w:rFonts w:ascii="Calibri" w:hAnsi="Calibri" w:cs="Calibri"/>
    </w:rPr>
  </w:style>
  <w:style w:type="character" w:styleId="Hipercze">
    <w:name w:val="Hyperlink"/>
    <w:basedOn w:val="Domylnaczcionkaakapitu"/>
    <w:uiPriority w:val="99"/>
    <w:unhideWhenUsed/>
    <w:rsid w:val="00B4515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502</Words>
  <Characters>3014</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Pstrokońska-Kudra</dc:creator>
  <cp:lastModifiedBy>Anna Pstrokońska-Kudra</cp:lastModifiedBy>
  <cp:revision>4</cp:revision>
  <dcterms:created xsi:type="dcterms:W3CDTF">2023-06-19T07:44:00Z</dcterms:created>
  <dcterms:modified xsi:type="dcterms:W3CDTF">2025-04-30T09:34:00Z</dcterms:modified>
</cp:coreProperties>
</file>